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27D7" w14:textId="77777777" w:rsidR="00FB6022" w:rsidRDefault="00FB6022" w:rsidP="00FB6022">
      <w:pPr>
        <w:pStyle w:val="paragraph"/>
        <w:numPr>
          <w:ilvl w:val="0"/>
          <w:numId w:val="1"/>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Criterio de servicio:</w:t>
      </w:r>
      <w:r>
        <w:rPr>
          <w:rStyle w:val="eop"/>
          <w:rFonts w:ascii="Calibri" w:hAnsi="Calibri" w:cs="Calibri"/>
          <w:b/>
          <w:bCs/>
          <w:sz w:val="22"/>
          <w:szCs w:val="22"/>
        </w:rPr>
        <w:t> </w:t>
      </w:r>
    </w:p>
    <w:p w14:paraId="6C742890" w14:textId="77777777" w:rsidR="00FB6022" w:rsidRDefault="00FB6022" w:rsidP="00FB6022">
      <w:pPr>
        <w:pStyle w:val="paragraph"/>
        <w:spacing w:before="0" w:beforeAutospacing="0" w:after="0" w:afterAutospacing="0"/>
        <w:ind w:left="270" w:right="120"/>
        <w:jc w:val="right"/>
        <w:textAlignment w:val="baseline"/>
        <w:rPr>
          <w:rFonts w:ascii="Segoe UI" w:hAnsi="Segoe UI" w:cs="Segoe UI"/>
          <w:b/>
          <w:bCs/>
          <w:sz w:val="18"/>
          <w:szCs w:val="18"/>
        </w:rPr>
      </w:pPr>
      <w:r>
        <w:rPr>
          <w:rStyle w:val="eop"/>
          <w:rFonts w:ascii="Calibri" w:hAnsi="Calibri" w:cs="Calibri"/>
          <w:b/>
          <w:bCs/>
          <w:sz w:val="22"/>
          <w:szCs w:val="22"/>
        </w:rPr>
        <w:t> </w:t>
      </w:r>
    </w:p>
    <w:p w14:paraId="3F4504C3" w14:textId="77777777" w:rsidR="00FB6022" w:rsidRDefault="00FB6022" w:rsidP="00FB6022">
      <w:pPr>
        <w:pStyle w:val="paragraph"/>
        <w:numPr>
          <w:ilvl w:val="0"/>
          <w:numId w:val="2"/>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Equipo de trabajo:</w:t>
      </w:r>
      <w:r>
        <w:rPr>
          <w:rStyle w:val="eop"/>
          <w:rFonts w:ascii="Calibri" w:hAnsi="Calibri" w:cs="Calibri"/>
          <w:b/>
          <w:bCs/>
          <w:sz w:val="22"/>
          <w:szCs w:val="22"/>
        </w:rPr>
        <w:t> </w:t>
      </w:r>
    </w:p>
    <w:p w14:paraId="55D48EC5"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567604EA"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El Equipo de Trabajo deberá ser suficiente e idóneo para cumplir con el objeto de la presente convocatoria. El Proponente debe anexar las hojas de vida de los consultores que conformarán el equipo de trabajo que desarrollará las actividades con Bancóldex en caso de ser seleccionado. Junto con las hojas de vida, se deberá informar la experiencia de cada miembro del equipo a través del número de horas de acompañamiento/consultoría de la persona o de las personas del equipo que se pondrá a disposición de Bancóldex para el desarrollo de la presente convocatoria</w:t>
      </w:r>
      <w:r>
        <w:rPr>
          <w:rStyle w:val="eop"/>
          <w:rFonts w:ascii="Calibri" w:hAnsi="Calibri" w:cs="Calibri"/>
          <w:sz w:val="22"/>
          <w:szCs w:val="22"/>
        </w:rPr>
        <w:t> </w:t>
      </w:r>
    </w:p>
    <w:p w14:paraId="08A76DB0"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1A27A2E6"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Así mismo, deberá adjuntar las cartas de intención debidamente suscritas, de cada uno de los integrantes del Equipo de Trabajo que se relacionen, mediante las cuales se manifieste el compromiso de trabajar en el objeto de la presente convocatoria, en caso de salir favorecidos con la adjudicación del contrato.</w:t>
      </w:r>
      <w:r>
        <w:rPr>
          <w:rStyle w:val="eop"/>
          <w:rFonts w:ascii="Calibri" w:hAnsi="Calibri" w:cs="Calibri"/>
          <w:sz w:val="22"/>
          <w:szCs w:val="22"/>
        </w:rPr>
        <w:t> </w:t>
      </w:r>
    </w:p>
    <w:p w14:paraId="7DA1209A"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296CA5F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xml:space="preserve">El proponente que presente la mayor cantidad de horas de acompañamiento/consultoría obtendrá la mayor calificación para este criterio, los demás proponentes serán calificados de manera proporcional a la cantidad de horas informadas mediante la aplicación de regla de </w:t>
      </w:r>
      <w:proofErr w:type="gramStart"/>
      <w:r>
        <w:rPr>
          <w:rStyle w:val="normaltextrun"/>
          <w:rFonts w:ascii="Calibri" w:hAnsi="Calibri" w:cs="Calibri"/>
          <w:sz w:val="22"/>
          <w:szCs w:val="22"/>
          <w:lang w:val="es-ES"/>
        </w:rPr>
        <w:t>tres inversa</w:t>
      </w:r>
      <w:proofErr w:type="gramEnd"/>
      <w:r>
        <w:rPr>
          <w:rStyle w:val="normaltextrun"/>
          <w:rFonts w:ascii="Calibri" w:hAnsi="Calibri" w:cs="Calibri"/>
          <w:sz w:val="22"/>
          <w:szCs w:val="22"/>
          <w:lang w:val="es-ES"/>
        </w:rPr>
        <w:t>. </w:t>
      </w:r>
      <w:r>
        <w:rPr>
          <w:rStyle w:val="eop"/>
          <w:rFonts w:ascii="Calibri" w:hAnsi="Calibri" w:cs="Calibri"/>
          <w:sz w:val="22"/>
          <w:szCs w:val="22"/>
        </w:rPr>
        <w:t> </w:t>
      </w:r>
    </w:p>
    <w:p w14:paraId="4828A012"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59919F1D" w14:textId="77777777" w:rsidR="00FB6022" w:rsidRDefault="00FB6022" w:rsidP="00FB6022">
      <w:pPr>
        <w:pStyle w:val="paragraph"/>
        <w:numPr>
          <w:ilvl w:val="0"/>
          <w:numId w:val="3"/>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Metodología:</w:t>
      </w:r>
      <w:r>
        <w:rPr>
          <w:rStyle w:val="eop"/>
          <w:rFonts w:ascii="Calibri" w:hAnsi="Calibri" w:cs="Calibri"/>
          <w:b/>
          <w:bCs/>
          <w:sz w:val="22"/>
          <w:szCs w:val="22"/>
        </w:rPr>
        <w:t> </w:t>
      </w:r>
    </w:p>
    <w:p w14:paraId="42920DC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8284B62"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color w:val="242424"/>
          <w:sz w:val="22"/>
          <w:szCs w:val="22"/>
          <w:shd w:val="clear" w:color="auto" w:fill="FFFFFF"/>
          <w:lang w:val="es-ES"/>
        </w:rPr>
        <w:t>El Proponente deberá especificar en su propuesta técnica la metodología que empleará para el desarrollo del servicio de acuerdo con lo establecido en el numeral 2.1, así las cosas, en este criterio se analizará el enfoque metodológico, las actividades y herramientas que pondrá a disposición la empresa consultora para el desarrollo del contrato, conforme con los siguientes subcriterios:</w:t>
      </w:r>
      <w:r>
        <w:rPr>
          <w:rStyle w:val="eop"/>
          <w:rFonts w:ascii="Calibri" w:hAnsi="Calibri" w:cs="Calibri"/>
          <w:color w:val="242424"/>
          <w:sz w:val="22"/>
          <w:szCs w:val="22"/>
        </w:rPr>
        <w:t> </w:t>
      </w:r>
    </w:p>
    <w:p w14:paraId="3CE0ED9B"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1C0828A8" w14:textId="77777777" w:rsidR="00FB6022" w:rsidRDefault="00FB6022" w:rsidP="00FB6022">
      <w:pPr>
        <w:pStyle w:val="paragraph"/>
        <w:numPr>
          <w:ilvl w:val="0"/>
          <w:numId w:val="4"/>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b/>
          <w:bCs/>
          <w:sz w:val="22"/>
          <w:szCs w:val="22"/>
          <w:lang w:val="es-ES"/>
        </w:rPr>
        <w:t> Cronograma</w:t>
      </w:r>
      <w:r>
        <w:rPr>
          <w:rStyle w:val="eop"/>
          <w:rFonts w:ascii="Calibri" w:hAnsi="Calibri" w:cs="Calibri"/>
          <w:sz w:val="22"/>
          <w:szCs w:val="22"/>
        </w:rPr>
        <w:t> </w:t>
      </w:r>
    </w:p>
    <w:p w14:paraId="000C643E"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66E3C44"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Cronograma detallado de la implementación de la consultoría: Tendrá una mayor calificación quien desarrolle la consultoría en menos tiempo con las actividades que respondan a las necesidades del Banco.</w:t>
      </w:r>
      <w:r>
        <w:rPr>
          <w:rStyle w:val="eop"/>
          <w:rFonts w:ascii="Calibri" w:hAnsi="Calibri" w:cs="Calibri"/>
          <w:sz w:val="22"/>
          <w:szCs w:val="22"/>
        </w:rPr>
        <w:t> </w:t>
      </w:r>
    </w:p>
    <w:p w14:paraId="7E0B012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739085F" w14:textId="77777777" w:rsidR="00FB6022" w:rsidRDefault="00FB6022" w:rsidP="00FB6022">
      <w:pPr>
        <w:pStyle w:val="paragraph"/>
        <w:numPr>
          <w:ilvl w:val="0"/>
          <w:numId w:val="5"/>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b/>
          <w:bCs/>
          <w:sz w:val="22"/>
          <w:szCs w:val="22"/>
          <w:lang w:val="es-ES"/>
        </w:rPr>
        <w:t>Ejemplo de entregable </w:t>
      </w:r>
      <w:r>
        <w:rPr>
          <w:rStyle w:val="eop"/>
          <w:rFonts w:ascii="Calibri" w:hAnsi="Calibri" w:cs="Calibri"/>
          <w:sz w:val="22"/>
          <w:szCs w:val="22"/>
        </w:rPr>
        <w:t> </w:t>
      </w:r>
    </w:p>
    <w:p w14:paraId="3202E314"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33CE4371"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color w:val="242424"/>
          <w:sz w:val="22"/>
          <w:szCs w:val="22"/>
          <w:lang w:val="es-ES"/>
        </w:rPr>
        <w:t xml:space="preserve">Ejemplo de entregable que le darían al Banco: Para este efecto, el proponente como parte de su propuesta técnica deberá incluir un ejemplo del Modelo de Gestión del Cambio. Obtendrá el mayor puntaje el proponente que presente el entregable que contenga de forma clara y completa, la mayor cantidad de conceptos establecidos en esta convocatoria, así como </w:t>
      </w:r>
      <w:r>
        <w:rPr>
          <w:rStyle w:val="normaltextrun"/>
          <w:rFonts w:ascii="Calibri" w:hAnsi="Calibri" w:cs="Calibri"/>
          <w:sz w:val="22"/>
          <w:szCs w:val="22"/>
          <w:lang w:val="es-ES"/>
        </w:rPr>
        <w:t xml:space="preserve">todos los conceptos, pasos, etapas, fases que consideren convenientes para el objeto de la contratación de acuerdo con su conocimiento y experiencia; </w:t>
      </w:r>
      <w:r>
        <w:rPr>
          <w:rStyle w:val="normaltextrun"/>
          <w:rFonts w:ascii="Calibri" w:hAnsi="Calibri" w:cs="Calibri"/>
          <w:color w:val="242424"/>
          <w:sz w:val="22"/>
          <w:szCs w:val="22"/>
          <w:lang w:val="es-ES"/>
        </w:rPr>
        <w:t xml:space="preserve">en todo caso, deberá contemplar como mínimo, los conceptos contemplados en el numeral 2.1 de esta convocatoria. </w:t>
      </w:r>
      <w:r>
        <w:rPr>
          <w:rStyle w:val="eop"/>
          <w:rFonts w:ascii="Calibri" w:hAnsi="Calibri" w:cs="Calibri"/>
          <w:color w:val="242424"/>
          <w:sz w:val="22"/>
          <w:szCs w:val="22"/>
        </w:rPr>
        <w:t> </w:t>
      </w:r>
    </w:p>
    <w:p w14:paraId="0AFE2357"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529E798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24A9F1DD" w14:textId="77777777" w:rsidR="00FB6022" w:rsidRDefault="00FB6022" w:rsidP="00FB6022">
      <w:pPr>
        <w:pStyle w:val="paragraph"/>
        <w:numPr>
          <w:ilvl w:val="0"/>
          <w:numId w:val="6"/>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Presentación de la propuesta por quienes atenderían la cuenta:</w:t>
      </w:r>
      <w:r>
        <w:rPr>
          <w:rStyle w:val="eop"/>
          <w:rFonts w:ascii="Calibri" w:hAnsi="Calibri" w:cs="Calibri"/>
          <w:b/>
          <w:bCs/>
          <w:sz w:val="22"/>
          <w:szCs w:val="22"/>
        </w:rPr>
        <w:t> </w:t>
      </w:r>
    </w:p>
    <w:p w14:paraId="26B06462"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lastRenderedPageBreak/>
        <w:t> </w:t>
      </w:r>
    </w:p>
    <w:p w14:paraId="5807C6D0"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La propuesta deberá ser presentada en una exposición de 30 minutos, distribuidas así¨: 20 min presentación y 10 minutos para dudas e inquietudes, por el Gerente del Proyecto. A la reunión deberá asistir el Gerente del Proyecto y/o la persona responsable de adelantar el proyecto en el día a día, la cual se realizará el 27 de abril de 2022 entre las 2:30 pm y las 5:00 pm, Bancóldex le notificará de manera previa la hora y el canal para llevar a cabo la presentación. </w:t>
      </w:r>
      <w:r>
        <w:rPr>
          <w:rStyle w:val="eop"/>
          <w:rFonts w:ascii="Calibri" w:hAnsi="Calibri" w:cs="Calibri"/>
          <w:sz w:val="22"/>
          <w:szCs w:val="22"/>
        </w:rPr>
        <w:t> </w:t>
      </w:r>
    </w:p>
    <w:p w14:paraId="3D62F0C8"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17BBEC9E"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En esta presentación se evaluará de manera general y de cada una de las competencias del Gerente del Proyecto y de la persona responsable de adelantar el proyecto en el día a día, en los siguientes aspectos:</w:t>
      </w:r>
      <w:r>
        <w:rPr>
          <w:rStyle w:val="eop"/>
          <w:rFonts w:ascii="Calibri" w:hAnsi="Calibri" w:cs="Calibri"/>
          <w:sz w:val="22"/>
          <w:szCs w:val="22"/>
        </w:rPr>
        <w:t> </w:t>
      </w:r>
    </w:p>
    <w:p w14:paraId="1F713993"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55BA7D84" w14:textId="77777777" w:rsidR="00FB6022" w:rsidRDefault="00FB6022" w:rsidP="00FB6022">
      <w:pPr>
        <w:pStyle w:val="paragraph"/>
        <w:numPr>
          <w:ilvl w:val="0"/>
          <w:numId w:val="7"/>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sz w:val="22"/>
          <w:szCs w:val="22"/>
          <w:lang w:val="es-ES"/>
        </w:rPr>
        <w:t>Impacto.</w:t>
      </w:r>
      <w:r>
        <w:rPr>
          <w:rStyle w:val="eop"/>
          <w:rFonts w:ascii="Calibri" w:hAnsi="Calibri" w:cs="Calibri"/>
          <w:sz w:val="22"/>
          <w:szCs w:val="22"/>
        </w:rPr>
        <w:t> </w:t>
      </w:r>
    </w:p>
    <w:p w14:paraId="6E6E04DF" w14:textId="77777777" w:rsidR="00FB6022" w:rsidRDefault="00FB6022" w:rsidP="00FB6022">
      <w:pPr>
        <w:pStyle w:val="paragraph"/>
        <w:numPr>
          <w:ilvl w:val="0"/>
          <w:numId w:val="8"/>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sz w:val="22"/>
          <w:szCs w:val="22"/>
          <w:lang w:val="es-ES"/>
        </w:rPr>
        <w:t>Comunicación asertiva.</w:t>
      </w:r>
      <w:r>
        <w:rPr>
          <w:rStyle w:val="eop"/>
          <w:rFonts w:ascii="Calibri" w:hAnsi="Calibri" w:cs="Calibri"/>
          <w:sz w:val="22"/>
          <w:szCs w:val="22"/>
        </w:rPr>
        <w:t> </w:t>
      </w:r>
    </w:p>
    <w:p w14:paraId="0DBDC9A3" w14:textId="77777777" w:rsidR="00FB6022" w:rsidRDefault="00FB6022" w:rsidP="00FB6022">
      <w:pPr>
        <w:pStyle w:val="paragraph"/>
        <w:numPr>
          <w:ilvl w:val="0"/>
          <w:numId w:val="9"/>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sz w:val="22"/>
          <w:szCs w:val="22"/>
          <w:lang w:val="es-ES"/>
        </w:rPr>
        <w:t>Servicio al Cliente.</w:t>
      </w:r>
      <w:r>
        <w:rPr>
          <w:rStyle w:val="eop"/>
          <w:rFonts w:ascii="Calibri" w:hAnsi="Calibri" w:cs="Calibri"/>
          <w:sz w:val="22"/>
          <w:szCs w:val="22"/>
        </w:rPr>
        <w:t> </w:t>
      </w:r>
    </w:p>
    <w:p w14:paraId="44ED37F9" w14:textId="77777777" w:rsidR="00FB6022" w:rsidRDefault="00FB6022" w:rsidP="00FB6022">
      <w:pPr>
        <w:pStyle w:val="paragraph"/>
        <w:numPr>
          <w:ilvl w:val="0"/>
          <w:numId w:val="10"/>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sz w:val="22"/>
          <w:szCs w:val="22"/>
          <w:lang w:val="es-ES"/>
        </w:rPr>
        <w:t>Conocimiento del tema.</w:t>
      </w:r>
      <w:r>
        <w:rPr>
          <w:rStyle w:val="eop"/>
          <w:rFonts w:ascii="Calibri" w:hAnsi="Calibri" w:cs="Calibri"/>
          <w:sz w:val="22"/>
          <w:szCs w:val="22"/>
        </w:rPr>
        <w:t> </w:t>
      </w:r>
    </w:p>
    <w:p w14:paraId="5B89296A"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w:t>
      </w:r>
      <w:r>
        <w:rPr>
          <w:rStyle w:val="eop"/>
          <w:rFonts w:ascii="Calibri" w:hAnsi="Calibri" w:cs="Calibri"/>
          <w:sz w:val="22"/>
          <w:szCs w:val="22"/>
        </w:rPr>
        <w:t> </w:t>
      </w:r>
    </w:p>
    <w:p w14:paraId="3806BF2B"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La evaluación se realizará de manera individual y se promediará la evaluación general de cada participante (Gerente del Proyecto y/o persona responsable de adelantar el proyecto en el día a día.) En caso de que se presenten los dos participantes, la evaluación será el promedio de la calificación individual de cada uno de estos, si únicamente se presenta uno de los dos participantes, la calificación obtenida por este será el total a ser asignado. </w:t>
      </w:r>
      <w:r>
        <w:rPr>
          <w:rStyle w:val="eop"/>
          <w:rFonts w:ascii="Calibri" w:hAnsi="Calibri" w:cs="Calibri"/>
          <w:sz w:val="22"/>
          <w:szCs w:val="22"/>
        </w:rPr>
        <w:t> </w:t>
      </w:r>
    </w:p>
    <w:p w14:paraId="75E0B187"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4807913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xml:space="preserve">Obtendrá el mayor puntaje el proponente que tenga la mayor calificación. Los demás serán calificados por regla de </w:t>
      </w:r>
      <w:proofErr w:type="gramStart"/>
      <w:r>
        <w:rPr>
          <w:rStyle w:val="normaltextrun"/>
          <w:rFonts w:ascii="Calibri" w:hAnsi="Calibri" w:cs="Calibri"/>
          <w:sz w:val="22"/>
          <w:szCs w:val="22"/>
          <w:lang w:val="es-ES"/>
        </w:rPr>
        <w:t>tres inversa</w:t>
      </w:r>
      <w:proofErr w:type="gramEnd"/>
      <w:r>
        <w:rPr>
          <w:rStyle w:val="normaltextrun"/>
          <w:rFonts w:ascii="Calibri" w:hAnsi="Calibri" w:cs="Calibri"/>
          <w:sz w:val="22"/>
          <w:szCs w:val="22"/>
          <w:lang w:val="es-ES"/>
        </w:rPr>
        <w:t>.  </w:t>
      </w:r>
      <w:r>
        <w:rPr>
          <w:rStyle w:val="eop"/>
          <w:rFonts w:ascii="Calibri" w:hAnsi="Calibri" w:cs="Calibri"/>
          <w:sz w:val="22"/>
          <w:szCs w:val="22"/>
        </w:rPr>
        <w:t> </w:t>
      </w:r>
    </w:p>
    <w:p w14:paraId="655B9B1D" w14:textId="77777777" w:rsidR="00FB6022" w:rsidRDefault="00FB6022" w:rsidP="00FB6022">
      <w:pPr>
        <w:pStyle w:val="paragraph"/>
        <w:spacing w:before="0" w:beforeAutospacing="0" w:after="0" w:afterAutospacing="0"/>
        <w:ind w:left="270" w:right="120"/>
        <w:textAlignment w:val="baseline"/>
        <w:rPr>
          <w:rFonts w:ascii="Segoe UI" w:hAnsi="Segoe UI" w:cs="Segoe UI"/>
          <w:b/>
          <w:bCs/>
          <w:sz w:val="18"/>
          <w:szCs w:val="18"/>
        </w:rPr>
      </w:pPr>
      <w:r>
        <w:rPr>
          <w:rStyle w:val="eop"/>
          <w:rFonts w:ascii="Calibri" w:hAnsi="Calibri" w:cs="Calibri"/>
          <w:b/>
          <w:bCs/>
          <w:sz w:val="22"/>
          <w:szCs w:val="22"/>
        </w:rPr>
        <w:t> </w:t>
      </w:r>
    </w:p>
    <w:p w14:paraId="065A8C18" w14:textId="77777777" w:rsidR="00FB6022" w:rsidRDefault="00FB6022" w:rsidP="00FB6022">
      <w:pPr>
        <w:pStyle w:val="paragraph"/>
        <w:numPr>
          <w:ilvl w:val="0"/>
          <w:numId w:val="11"/>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Valores agregados</w:t>
      </w:r>
      <w:r>
        <w:rPr>
          <w:rStyle w:val="eop"/>
          <w:rFonts w:ascii="Calibri" w:hAnsi="Calibri" w:cs="Calibri"/>
          <w:b/>
          <w:bCs/>
          <w:sz w:val="22"/>
          <w:szCs w:val="22"/>
        </w:rPr>
        <w:t> </w:t>
      </w:r>
    </w:p>
    <w:p w14:paraId="5ABD1F0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245D279E"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Los proponentes podrán ofrecer los valores agregados que no se encuentren en los servicios descritos en el numeral 2.1.  Los valores agregados serán calificados de acuerdo con el impacto que tendría para Bancóldex en una escala de calificación de alto (5 puntos), medio (3 puntos) y bajo (1 punto). </w:t>
      </w:r>
      <w:r>
        <w:rPr>
          <w:rStyle w:val="eop"/>
          <w:rFonts w:ascii="Calibri" w:hAnsi="Calibri" w:cs="Calibri"/>
          <w:sz w:val="22"/>
          <w:szCs w:val="22"/>
        </w:rPr>
        <w:t> </w:t>
      </w:r>
    </w:p>
    <w:p w14:paraId="24C58F7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w:t>
      </w:r>
      <w:r>
        <w:rPr>
          <w:rStyle w:val="eop"/>
          <w:rFonts w:ascii="Calibri" w:hAnsi="Calibri" w:cs="Calibri"/>
          <w:sz w:val="22"/>
          <w:szCs w:val="22"/>
        </w:rPr>
        <w:t> </w:t>
      </w:r>
    </w:p>
    <w:p w14:paraId="4A1DDBD7"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xml:space="preserve">Tendrá una mayor calificación el proponente que en la sumatoria tenga el valor más alto y los demás proponentes serán calificados por regla de </w:t>
      </w:r>
      <w:proofErr w:type="gramStart"/>
      <w:r>
        <w:rPr>
          <w:rStyle w:val="normaltextrun"/>
          <w:rFonts w:ascii="Calibri" w:hAnsi="Calibri" w:cs="Calibri"/>
          <w:sz w:val="22"/>
          <w:szCs w:val="22"/>
          <w:lang w:val="es-ES"/>
        </w:rPr>
        <w:t>tres inversa</w:t>
      </w:r>
      <w:proofErr w:type="gramEnd"/>
      <w:r>
        <w:rPr>
          <w:rStyle w:val="normaltextrun"/>
          <w:rFonts w:ascii="Calibri" w:hAnsi="Calibri" w:cs="Calibri"/>
          <w:sz w:val="22"/>
          <w:szCs w:val="22"/>
          <w:lang w:val="es-ES"/>
        </w:rPr>
        <w:t>. </w:t>
      </w:r>
      <w:r>
        <w:rPr>
          <w:rStyle w:val="eop"/>
          <w:rFonts w:ascii="Calibri" w:hAnsi="Calibri" w:cs="Calibri"/>
          <w:sz w:val="22"/>
          <w:szCs w:val="22"/>
        </w:rPr>
        <w:t> </w:t>
      </w:r>
    </w:p>
    <w:p w14:paraId="76879A7F"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4B3F00B5" w14:textId="77777777" w:rsidR="00FB6022" w:rsidRDefault="00FB6022" w:rsidP="00FB6022">
      <w:pPr>
        <w:pStyle w:val="paragraph"/>
        <w:numPr>
          <w:ilvl w:val="0"/>
          <w:numId w:val="12"/>
        </w:numPr>
        <w:spacing w:before="0" w:beforeAutospacing="0" w:after="0" w:afterAutospacing="0"/>
        <w:ind w:left="315" w:firstLine="0"/>
        <w:jc w:val="both"/>
        <w:textAlignment w:val="baseline"/>
        <w:rPr>
          <w:rFonts w:ascii="Calibri" w:hAnsi="Calibri" w:cs="Calibri"/>
          <w:b/>
          <w:bCs/>
          <w:sz w:val="22"/>
          <w:szCs w:val="22"/>
        </w:rPr>
      </w:pPr>
      <w:r>
        <w:rPr>
          <w:rStyle w:val="normaltextrun"/>
          <w:rFonts w:ascii="Calibri" w:hAnsi="Calibri" w:cs="Calibri"/>
          <w:b/>
          <w:bCs/>
          <w:sz w:val="22"/>
          <w:szCs w:val="22"/>
          <w:lang w:val="es-ES"/>
        </w:rPr>
        <w:t>FACTOR ECONÓMICO</w:t>
      </w:r>
      <w:r>
        <w:rPr>
          <w:rStyle w:val="eop"/>
          <w:rFonts w:ascii="Calibri" w:hAnsi="Calibri" w:cs="Calibri"/>
          <w:b/>
          <w:bCs/>
          <w:sz w:val="22"/>
          <w:szCs w:val="22"/>
        </w:rPr>
        <w:t> </w:t>
      </w:r>
    </w:p>
    <w:p w14:paraId="4B0B024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0637EE5"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En este componente se tendrá en cuenta el valor establecido para adelantar las labores a contratar, conforme la propuesta económica que se presente, la cual debe ser acorde a las condiciones establecidas en el siguiente numeral.</w:t>
      </w:r>
      <w:r>
        <w:rPr>
          <w:rStyle w:val="eop"/>
          <w:rFonts w:ascii="Calibri" w:hAnsi="Calibri" w:cs="Calibri"/>
          <w:sz w:val="22"/>
          <w:szCs w:val="22"/>
        </w:rPr>
        <w:t> </w:t>
      </w:r>
    </w:p>
    <w:p w14:paraId="0407B88A" w14:textId="77777777" w:rsidR="00FB6022" w:rsidRDefault="00FB6022" w:rsidP="00FB6022">
      <w:pPr>
        <w:pStyle w:val="paragraph"/>
        <w:spacing w:before="0" w:beforeAutospacing="0" w:after="0" w:afterAutospacing="0"/>
        <w:ind w:left="270" w:right="120"/>
        <w:textAlignment w:val="baseline"/>
        <w:rPr>
          <w:rFonts w:ascii="Segoe UI" w:hAnsi="Segoe UI" w:cs="Segoe UI"/>
          <w:b/>
          <w:bCs/>
          <w:sz w:val="18"/>
          <w:szCs w:val="18"/>
        </w:rPr>
      </w:pPr>
      <w:r>
        <w:rPr>
          <w:rStyle w:val="eop"/>
          <w:rFonts w:ascii="Calibri" w:hAnsi="Calibri" w:cs="Calibri"/>
          <w:b/>
          <w:bCs/>
          <w:sz w:val="22"/>
          <w:szCs w:val="22"/>
        </w:rPr>
        <w:t> </w:t>
      </w:r>
    </w:p>
    <w:p w14:paraId="373F3318" w14:textId="77777777" w:rsidR="00FB6022" w:rsidRDefault="00FB6022" w:rsidP="00FB6022">
      <w:pPr>
        <w:pStyle w:val="paragraph"/>
        <w:numPr>
          <w:ilvl w:val="0"/>
          <w:numId w:val="13"/>
        </w:numPr>
        <w:spacing w:before="0" w:beforeAutospacing="0" w:after="0" w:afterAutospacing="0"/>
        <w:ind w:left="270" w:firstLine="0"/>
        <w:textAlignment w:val="baseline"/>
        <w:rPr>
          <w:rFonts w:ascii="Calibri" w:hAnsi="Calibri" w:cs="Calibri"/>
          <w:b/>
          <w:bCs/>
          <w:sz w:val="22"/>
          <w:szCs w:val="22"/>
        </w:rPr>
      </w:pPr>
      <w:r>
        <w:rPr>
          <w:rStyle w:val="normaltextrun"/>
          <w:rFonts w:ascii="Calibri" w:hAnsi="Calibri" w:cs="Calibri"/>
          <w:b/>
          <w:bCs/>
          <w:sz w:val="22"/>
          <w:szCs w:val="22"/>
          <w:lang w:val="es-ES"/>
        </w:rPr>
        <w:t>Propuesta económica</w:t>
      </w:r>
      <w:r>
        <w:rPr>
          <w:rStyle w:val="eop"/>
          <w:rFonts w:ascii="Calibri" w:hAnsi="Calibri" w:cs="Calibri"/>
          <w:b/>
          <w:bCs/>
          <w:sz w:val="22"/>
          <w:szCs w:val="22"/>
        </w:rPr>
        <w:t> </w:t>
      </w:r>
    </w:p>
    <w:p w14:paraId="0E97E0F8"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39E5518"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El proponente deberá discriminar en su oferta económica el IVA de los bienes y/o servicios ofertados y todos los impuestos a que haya lugar conforme a las normas tributarias vigentes en Colombia.</w:t>
      </w:r>
      <w:r>
        <w:rPr>
          <w:rStyle w:val="eop"/>
          <w:rFonts w:ascii="Calibri" w:hAnsi="Calibri" w:cs="Calibri"/>
          <w:sz w:val="22"/>
          <w:szCs w:val="22"/>
        </w:rPr>
        <w:t> </w:t>
      </w:r>
    </w:p>
    <w:p w14:paraId="1C33731B"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CD3902C"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lastRenderedPageBreak/>
        <w:t>Si el proponente no discrimina el impuesto al valor agregado (IVA) u otro impuesto y el bien y/o servicio causa dicho impuesto, Bancóldex lo considerarán INCLUIDO en el valor total de la Propuesta y así lo acepta el Proponente.</w:t>
      </w:r>
      <w:r>
        <w:rPr>
          <w:rStyle w:val="eop"/>
          <w:rFonts w:ascii="Calibri" w:hAnsi="Calibri" w:cs="Calibri"/>
          <w:sz w:val="22"/>
          <w:szCs w:val="22"/>
        </w:rPr>
        <w:t> </w:t>
      </w:r>
    </w:p>
    <w:p w14:paraId="5B4EDF1E"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BD27AE8"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La Propuesta económica deberá cubrir todos los gastos en los que incurra el Proponente, incluyendo traslados, gastos de viajes, tiquetes aéreos y cualquier otro gasto.</w:t>
      </w:r>
      <w:r>
        <w:rPr>
          <w:rStyle w:val="eop"/>
          <w:rFonts w:ascii="Calibri" w:hAnsi="Calibri" w:cs="Calibri"/>
          <w:sz w:val="22"/>
          <w:szCs w:val="22"/>
        </w:rPr>
        <w:t> </w:t>
      </w:r>
    </w:p>
    <w:p w14:paraId="54C1FD88"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31282FEF"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El valor total de la propuesta deberá presentarse en pesos colombianos, así como todos los impuestos. Para efectos de los proponentes extranjeros, estos deberán igualmente presentar la propuesta en pesos colombianos.</w:t>
      </w:r>
      <w:r>
        <w:rPr>
          <w:rStyle w:val="eop"/>
          <w:rFonts w:ascii="Calibri" w:hAnsi="Calibri" w:cs="Calibri"/>
          <w:sz w:val="22"/>
          <w:szCs w:val="22"/>
        </w:rPr>
        <w:t> </w:t>
      </w:r>
    </w:p>
    <w:p w14:paraId="6DC3C262"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A050C4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En ningún caso el Banco de Comercio Exterior de Colombia S.A. reembolsará o cubrirá gastos adicionales que superen el valor de la propuesta presentada.</w:t>
      </w:r>
      <w:r>
        <w:rPr>
          <w:rStyle w:val="eop"/>
          <w:rFonts w:ascii="Calibri" w:hAnsi="Calibri" w:cs="Calibri"/>
          <w:sz w:val="22"/>
          <w:szCs w:val="22"/>
        </w:rPr>
        <w:t> </w:t>
      </w:r>
    </w:p>
    <w:p w14:paraId="7EB5088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2155C92"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Todo error u omisión en la oferta económica, indebida interpretación del alcance del objeto de la presente invitación y condiciones previstas en estos Términos de Referencia, así como de las normas tributarias aplicables, será responsabilidad del Proponente y no se le permitirá ajustar sus precios.</w:t>
      </w:r>
      <w:r>
        <w:rPr>
          <w:rStyle w:val="eop"/>
          <w:rFonts w:ascii="Calibri" w:hAnsi="Calibri" w:cs="Calibri"/>
          <w:sz w:val="22"/>
          <w:szCs w:val="22"/>
        </w:rPr>
        <w:t> </w:t>
      </w:r>
    </w:p>
    <w:p w14:paraId="088CF6A1"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22DE2AB3"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xml:space="preserve">Obtendrá una mayor calificación el proponente que presente el menor valor para el desarrollo del objeto de la contratación, los demás proponentes serán calificados por regla de </w:t>
      </w:r>
      <w:proofErr w:type="gramStart"/>
      <w:r>
        <w:rPr>
          <w:rStyle w:val="normaltextrun"/>
          <w:rFonts w:ascii="Calibri" w:hAnsi="Calibri" w:cs="Calibri"/>
          <w:sz w:val="22"/>
          <w:szCs w:val="22"/>
          <w:lang w:val="es-ES"/>
        </w:rPr>
        <w:t>tres inversa</w:t>
      </w:r>
      <w:proofErr w:type="gramEnd"/>
      <w:r>
        <w:rPr>
          <w:rStyle w:val="normaltextrun"/>
          <w:rFonts w:ascii="Calibri" w:hAnsi="Calibri" w:cs="Calibri"/>
          <w:sz w:val="22"/>
          <w:szCs w:val="22"/>
          <w:lang w:val="es-ES"/>
        </w:rPr>
        <w:t>. </w:t>
      </w:r>
      <w:r>
        <w:rPr>
          <w:rStyle w:val="eop"/>
          <w:rFonts w:ascii="Calibri" w:hAnsi="Calibri" w:cs="Calibri"/>
          <w:sz w:val="22"/>
          <w:szCs w:val="22"/>
        </w:rPr>
        <w:t> </w:t>
      </w:r>
    </w:p>
    <w:p w14:paraId="4018E5F1"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163A1FBD"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Bancóldex revisará las operaciones aritméticas de la propuesta económica y en caso de error se le solicitará las respectivas aclaraciones al proponente de acuerdo con lo establecido en el numeral 5.6. de la presente convocatoria. </w:t>
      </w:r>
      <w:r>
        <w:rPr>
          <w:rStyle w:val="eop"/>
          <w:rFonts w:ascii="Calibri" w:hAnsi="Calibri" w:cs="Calibri"/>
          <w:sz w:val="22"/>
          <w:szCs w:val="22"/>
        </w:rPr>
        <w:t> </w:t>
      </w:r>
    </w:p>
    <w:p w14:paraId="4EE054E6"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F25E116"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Si el proponente no da repuesta en el término que para el efecto le haya establecido Bancóldex, los errores en las operaciones aritméticas serán corregidos de la siguiente manera: </w:t>
      </w:r>
      <w:r>
        <w:rPr>
          <w:rStyle w:val="eop"/>
          <w:rFonts w:ascii="Calibri" w:hAnsi="Calibri" w:cs="Calibri"/>
          <w:sz w:val="22"/>
          <w:szCs w:val="22"/>
        </w:rPr>
        <w:t> </w:t>
      </w:r>
    </w:p>
    <w:p w14:paraId="3B38C130"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0B58311F"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Cuando se presente divergencias entre el valor expresado en números y en letras, prevalecerá la cantidad expresada en letras. </w:t>
      </w:r>
      <w:r>
        <w:rPr>
          <w:rStyle w:val="eop"/>
          <w:rFonts w:ascii="Calibri" w:hAnsi="Calibri" w:cs="Calibri"/>
          <w:sz w:val="22"/>
          <w:szCs w:val="22"/>
        </w:rPr>
        <w:t> </w:t>
      </w:r>
    </w:p>
    <w:p w14:paraId="51612E34"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 Los valores corregidos se tendrán en cuenta en la evaluación de las propuestas, en la adjudicación y suscripción del contrato, por lo que los errores u omisiones en que se incurra en la propuesta económica serán de la exclusiva responsabilidad del proponente, debiendo asumir los mayores costos y/o pérdidas que se deriven de dichos errores u omisiones. </w:t>
      </w:r>
      <w:r>
        <w:rPr>
          <w:rStyle w:val="eop"/>
          <w:rFonts w:ascii="Calibri" w:hAnsi="Calibri" w:cs="Calibri"/>
          <w:sz w:val="22"/>
          <w:szCs w:val="22"/>
        </w:rPr>
        <w:t> </w:t>
      </w:r>
    </w:p>
    <w:p w14:paraId="183666B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eop"/>
          <w:rFonts w:ascii="Calibri" w:hAnsi="Calibri" w:cs="Calibri"/>
          <w:sz w:val="22"/>
          <w:szCs w:val="22"/>
        </w:rPr>
        <w:t> </w:t>
      </w:r>
    </w:p>
    <w:p w14:paraId="7A0F74E9" w14:textId="77777777" w:rsidR="00FB6022" w:rsidRDefault="00FB6022" w:rsidP="00FB6022">
      <w:pPr>
        <w:pStyle w:val="paragraph"/>
        <w:spacing w:before="0" w:beforeAutospacing="0" w:after="0" w:afterAutospacing="0"/>
        <w:ind w:left="270" w:right="120"/>
        <w:jc w:val="both"/>
        <w:textAlignment w:val="baseline"/>
        <w:rPr>
          <w:rFonts w:ascii="Segoe UI" w:hAnsi="Segoe UI" w:cs="Segoe UI"/>
          <w:sz w:val="18"/>
          <w:szCs w:val="18"/>
        </w:rPr>
      </w:pPr>
      <w:r>
        <w:rPr>
          <w:rStyle w:val="normaltextrun"/>
          <w:rFonts w:ascii="Calibri" w:hAnsi="Calibri" w:cs="Calibri"/>
          <w:sz w:val="22"/>
          <w:szCs w:val="22"/>
          <w:lang w:val="es-ES"/>
        </w:rPr>
        <w:t>Los proponentes responderán cuando formulen propuestas en las cuales se fijen condiciones económicas y de contratación artificialmente bajas con el propósito de obtener la adjudicación de la presente convocatoria.</w:t>
      </w:r>
      <w:r>
        <w:rPr>
          <w:rStyle w:val="eop"/>
          <w:rFonts w:ascii="Calibri" w:hAnsi="Calibri" w:cs="Calibri"/>
          <w:sz w:val="22"/>
          <w:szCs w:val="22"/>
        </w:rPr>
        <w:t> </w:t>
      </w:r>
    </w:p>
    <w:p w14:paraId="2CC12CA4" w14:textId="77777777" w:rsidR="0028223C" w:rsidRDefault="0028223C"/>
    <w:sectPr w:rsidR="002822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96"/>
    <w:multiLevelType w:val="multilevel"/>
    <w:tmpl w:val="2A508C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A06F35"/>
    <w:multiLevelType w:val="multilevel"/>
    <w:tmpl w:val="49F23A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336F79"/>
    <w:multiLevelType w:val="multilevel"/>
    <w:tmpl w:val="92A2F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DD7230"/>
    <w:multiLevelType w:val="multilevel"/>
    <w:tmpl w:val="ECE4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17DAA"/>
    <w:multiLevelType w:val="multilevel"/>
    <w:tmpl w:val="89ECB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025229"/>
    <w:multiLevelType w:val="multilevel"/>
    <w:tmpl w:val="75C0B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753C4"/>
    <w:multiLevelType w:val="multilevel"/>
    <w:tmpl w:val="AD58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13060"/>
    <w:multiLevelType w:val="multilevel"/>
    <w:tmpl w:val="29260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93401"/>
    <w:multiLevelType w:val="multilevel"/>
    <w:tmpl w:val="B0AE7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0966BB"/>
    <w:multiLevelType w:val="multilevel"/>
    <w:tmpl w:val="A134F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BC7478F"/>
    <w:multiLevelType w:val="multilevel"/>
    <w:tmpl w:val="1E1ED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60313"/>
    <w:multiLevelType w:val="multilevel"/>
    <w:tmpl w:val="3E0CB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3D2E73"/>
    <w:multiLevelType w:val="multilevel"/>
    <w:tmpl w:val="56AE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5"/>
  </w:num>
  <w:num w:numId="4">
    <w:abstractNumId w:val="3"/>
  </w:num>
  <w:num w:numId="5">
    <w:abstractNumId w:val="7"/>
  </w:num>
  <w:num w:numId="6">
    <w:abstractNumId w:val="10"/>
  </w:num>
  <w:num w:numId="7">
    <w:abstractNumId w:val="2"/>
  </w:num>
  <w:num w:numId="8">
    <w:abstractNumId w:val="9"/>
  </w:num>
  <w:num w:numId="9">
    <w:abstractNumId w:val="0"/>
  </w:num>
  <w:num w:numId="10">
    <w:abstractNumId w:val="1"/>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22"/>
    <w:rsid w:val="0028223C"/>
    <w:rsid w:val="004E5E11"/>
    <w:rsid w:val="00FB60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0095"/>
  <w15:chartTrackingRefBased/>
  <w15:docId w15:val="{89B7FD55-B3E1-4D7A-9EB3-71BE0B5D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B60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B6022"/>
  </w:style>
  <w:style w:type="character" w:customStyle="1" w:styleId="eop">
    <w:name w:val="eop"/>
    <w:basedOn w:val="Fuentedeprrafopredeter"/>
    <w:rsid w:val="00FB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74939">
      <w:bodyDiv w:val="1"/>
      <w:marLeft w:val="0"/>
      <w:marRight w:val="0"/>
      <w:marTop w:val="0"/>
      <w:marBottom w:val="0"/>
      <w:divBdr>
        <w:top w:val="none" w:sz="0" w:space="0" w:color="auto"/>
        <w:left w:val="none" w:sz="0" w:space="0" w:color="auto"/>
        <w:bottom w:val="none" w:sz="0" w:space="0" w:color="auto"/>
        <w:right w:val="none" w:sz="0" w:space="0" w:color="auto"/>
      </w:divBdr>
      <w:divsChild>
        <w:div w:id="92241785">
          <w:marLeft w:val="0"/>
          <w:marRight w:val="0"/>
          <w:marTop w:val="0"/>
          <w:marBottom w:val="0"/>
          <w:divBdr>
            <w:top w:val="none" w:sz="0" w:space="0" w:color="auto"/>
            <w:left w:val="none" w:sz="0" w:space="0" w:color="auto"/>
            <w:bottom w:val="none" w:sz="0" w:space="0" w:color="auto"/>
            <w:right w:val="none" w:sz="0" w:space="0" w:color="auto"/>
          </w:divBdr>
          <w:divsChild>
            <w:div w:id="1664772005">
              <w:marLeft w:val="0"/>
              <w:marRight w:val="0"/>
              <w:marTop w:val="0"/>
              <w:marBottom w:val="0"/>
              <w:divBdr>
                <w:top w:val="none" w:sz="0" w:space="0" w:color="auto"/>
                <w:left w:val="none" w:sz="0" w:space="0" w:color="auto"/>
                <w:bottom w:val="none" w:sz="0" w:space="0" w:color="auto"/>
                <w:right w:val="none" w:sz="0" w:space="0" w:color="auto"/>
              </w:divBdr>
            </w:div>
            <w:div w:id="1096056417">
              <w:marLeft w:val="0"/>
              <w:marRight w:val="0"/>
              <w:marTop w:val="0"/>
              <w:marBottom w:val="0"/>
              <w:divBdr>
                <w:top w:val="none" w:sz="0" w:space="0" w:color="auto"/>
                <w:left w:val="none" w:sz="0" w:space="0" w:color="auto"/>
                <w:bottom w:val="none" w:sz="0" w:space="0" w:color="auto"/>
                <w:right w:val="none" w:sz="0" w:space="0" w:color="auto"/>
              </w:divBdr>
            </w:div>
            <w:div w:id="754129558">
              <w:marLeft w:val="0"/>
              <w:marRight w:val="0"/>
              <w:marTop w:val="0"/>
              <w:marBottom w:val="0"/>
              <w:divBdr>
                <w:top w:val="none" w:sz="0" w:space="0" w:color="auto"/>
                <w:left w:val="none" w:sz="0" w:space="0" w:color="auto"/>
                <w:bottom w:val="none" w:sz="0" w:space="0" w:color="auto"/>
                <w:right w:val="none" w:sz="0" w:space="0" w:color="auto"/>
              </w:divBdr>
            </w:div>
          </w:divsChild>
        </w:div>
        <w:div w:id="1949651948">
          <w:marLeft w:val="0"/>
          <w:marRight w:val="0"/>
          <w:marTop w:val="0"/>
          <w:marBottom w:val="0"/>
          <w:divBdr>
            <w:top w:val="none" w:sz="0" w:space="0" w:color="auto"/>
            <w:left w:val="none" w:sz="0" w:space="0" w:color="auto"/>
            <w:bottom w:val="none" w:sz="0" w:space="0" w:color="auto"/>
            <w:right w:val="none" w:sz="0" w:space="0" w:color="auto"/>
          </w:divBdr>
        </w:div>
        <w:div w:id="944387452">
          <w:marLeft w:val="0"/>
          <w:marRight w:val="0"/>
          <w:marTop w:val="0"/>
          <w:marBottom w:val="0"/>
          <w:divBdr>
            <w:top w:val="none" w:sz="0" w:space="0" w:color="auto"/>
            <w:left w:val="none" w:sz="0" w:space="0" w:color="auto"/>
            <w:bottom w:val="none" w:sz="0" w:space="0" w:color="auto"/>
            <w:right w:val="none" w:sz="0" w:space="0" w:color="auto"/>
          </w:divBdr>
        </w:div>
        <w:div w:id="2048526986">
          <w:marLeft w:val="0"/>
          <w:marRight w:val="0"/>
          <w:marTop w:val="0"/>
          <w:marBottom w:val="0"/>
          <w:divBdr>
            <w:top w:val="none" w:sz="0" w:space="0" w:color="auto"/>
            <w:left w:val="none" w:sz="0" w:space="0" w:color="auto"/>
            <w:bottom w:val="none" w:sz="0" w:space="0" w:color="auto"/>
            <w:right w:val="none" w:sz="0" w:space="0" w:color="auto"/>
          </w:divBdr>
        </w:div>
        <w:div w:id="1265502297">
          <w:marLeft w:val="0"/>
          <w:marRight w:val="0"/>
          <w:marTop w:val="0"/>
          <w:marBottom w:val="0"/>
          <w:divBdr>
            <w:top w:val="none" w:sz="0" w:space="0" w:color="auto"/>
            <w:left w:val="none" w:sz="0" w:space="0" w:color="auto"/>
            <w:bottom w:val="none" w:sz="0" w:space="0" w:color="auto"/>
            <w:right w:val="none" w:sz="0" w:space="0" w:color="auto"/>
          </w:divBdr>
        </w:div>
        <w:div w:id="1476486281">
          <w:marLeft w:val="0"/>
          <w:marRight w:val="0"/>
          <w:marTop w:val="0"/>
          <w:marBottom w:val="0"/>
          <w:divBdr>
            <w:top w:val="none" w:sz="0" w:space="0" w:color="auto"/>
            <w:left w:val="none" w:sz="0" w:space="0" w:color="auto"/>
            <w:bottom w:val="none" w:sz="0" w:space="0" w:color="auto"/>
            <w:right w:val="none" w:sz="0" w:space="0" w:color="auto"/>
          </w:divBdr>
        </w:div>
        <w:div w:id="1961840392">
          <w:marLeft w:val="0"/>
          <w:marRight w:val="0"/>
          <w:marTop w:val="0"/>
          <w:marBottom w:val="0"/>
          <w:divBdr>
            <w:top w:val="none" w:sz="0" w:space="0" w:color="auto"/>
            <w:left w:val="none" w:sz="0" w:space="0" w:color="auto"/>
            <w:bottom w:val="none" w:sz="0" w:space="0" w:color="auto"/>
            <w:right w:val="none" w:sz="0" w:space="0" w:color="auto"/>
          </w:divBdr>
          <w:divsChild>
            <w:div w:id="295913773">
              <w:marLeft w:val="0"/>
              <w:marRight w:val="0"/>
              <w:marTop w:val="0"/>
              <w:marBottom w:val="0"/>
              <w:divBdr>
                <w:top w:val="none" w:sz="0" w:space="0" w:color="auto"/>
                <w:left w:val="none" w:sz="0" w:space="0" w:color="auto"/>
                <w:bottom w:val="none" w:sz="0" w:space="0" w:color="auto"/>
                <w:right w:val="none" w:sz="0" w:space="0" w:color="auto"/>
              </w:divBdr>
            </w:div>
            <w:div w:id="1750535908">
              <w:marLeft w:val="0"/>
              <w:marRight w:val="0"/>
              <w:marTop w:val="0"/>
              <w:marBottom w:val="0"/>
              <w:divBdr>
                <w:top w:val="none" w:sz="0" w:space="0" w:color="auto"/>
                <w:left w:val="none" w:sz="0" w:space="0" w:color="auto"/>
                <w:bottom w:val="none" w:sz="0" w:space="0" w:color="auto"/>
                <w:right w:val="none" w:sz="0" w:space="0" w:color="auto"/>
              </w:divBdr>
            </w:div>
            <w:div w:id="1660377939">
              <w:marLeft w:val="0"/>
              <w:marRight w:val="0"/>
              <w:marTop w:val="0"/>
              <w:marBottom w:val="0"/>
              <w:divBdr>
                <w:top w:val="none" w:sz="0" w:space="0" w:color="auto"/>
                <w:left w:val="none" w:sz="0" w:space="0" w:color="auto"/>
                <w:bottom w:val="none" w:sz="0" w:space="0" w:color="auto"/>
                <w:right w:val="none" w:sz="0" w:space="0" w:color="auto"/>
              </w:divBdr>
            </w:div>
            <w:div w:id="735860496">
              <w:marLeft w:val="0"/>
              <w:marRight w:val="0"/>
              <w:marTop w:val="0"/>
              <w:marBottom w:val="0"/>
              <w:divBdr>
                <w:top w:val="none" w:sz="0" w:space="0" w:color="auto"/>
                <w:left w:val="none" w:sz="0" w:space="0" w:color="auto"/>
                <w:bottom w:val="none" w:sz="0" w:space="0" w:color="auto"/>
                <w:right w:val="none" w:sz="0" w:space="0" w:color="auto"/>
              </w:divBdr>
            </w:div>
            <w:div w:id="271401932">
              <w:marLeft w:val="0"/>
              <w:marRight w:val="0"/>
              <w:marTop w:val="0"/>
              <w:marBottom w:val="0"/>
              <w:divBdr>
                <w:top w:val="none" w:sz="0" w:space="0" w:color="auto"/>
                <w:left w:val="none" w:sz="0" w:space="0" w:color="auto"/>
                <w:bottom w:val="none" w:sz="0" w:space="0" w:color="auto"/>
                <w:right w:val="none" w:sz="0" w:space="0" w:color="auto"/>
              </w:divBdr>
            </w:div>
          </w:divsChild>
        </w:div>
        <w:div w:id="538859235">
          <w:marLeft w:val="0"/>
          <w:marRight w:val="0"/>
          <w:marTop w:val="0"/>
          <w:marBottom w:val="0"/>
          <w:divBdr>
            <w:top w:val="none" w:sz="0" w:space="0" w:color="auto"/>
            <w:left w:val="none" w:sz="0" w:space="0" w:color="auto"/>
            <w:bottom w:val="none" w:sz="0" w:space="0" w:color="auto"/>
            <w:right w:val="none" w:sz="0" w:space="0" w:color="auto"/>
          </w:divBdr>
          <w:divsChild>
            <w:div w:id="306396045">
              <w:marLeft w:val="0"/>
              <w:marRight w:val="0"/>
              <w:marTop w:val="0"/>
              <w:marBottom w:val="0"/>
              <w:divBdr>
                <w:top w:val="none" w:sz="0" w:space="0" w:color="auto"/>
                <w:left w:val="none" w:sz="0" w:space="0" w:color="auto"/>
                <w:bottom w:val="none" w:sz="0" w:space="0" w:color="auto"/>
                <w:right w:val="none" w:sz="0" w:space="0" w:color="auto"/>
              </w:divBdr>
            </w:div>
            <w:div w:id="1956449320">
              <w:marLeft w:val="0"/>
              <w:marRight w:val="0"/>
              <w:marTop w:val="0"/>
              <w:marBottom w:val="0"/>
              <w:divBdr>
                <w:top w:val="none" w:sz="0" w:space="0" w:color="auto"/>
                <w:left w:val="none" w:sz="0" w:space="0" w:color="auto"/>
                <w:bottom w:val="none" w:sz="0" w:space="0" w:color="auto"/>
                <w:right w:val="none" w:sz="0" w:space="0" w:color="auto"/>
              </w:divBdr>
            </w:div>
            <w:div w:id="1851411817">
              <w:marLeft w:val="0"/>
              <w:marRight w:val="0"/>
              <w:marTop w:val="0"/>
              <w:marBottom w:val="0"/>
              <w:divBdr>
                <w:top w:val="none" w:sz="0" w:space="0" w:color="auto"/>
                <w:left w:val="none" w:sz="0" w:space="0" w:color="auto"/>
                <w:bottom w:val="none" w:sz="0" w:space="0" w:color="auto"/>
                <w:right w:val="none" w:sz="0" w:space="0" w:color="auto"/>
              </w:divBdr>
            </w:div>
            <w:div w:id="1387801549">
              <w:marLeft w:val="0"/>
              <w:marRight w:val="0"/>
              <w:marTop w:val="0"/>
              <w:marBottom w:val="0"/>
              <w:divBdr>
                <w:top w:val="none" w:sz="0" w:space="0" w:color="auto"/>
                <w:left w:val="none" w:sz="0" w:space="0" w:color="auto"/>
                <w:bottom w:val="none" w:sz="0" w:space="0" w:color="auto"/>
                <w:right w:val="none" w:sz="0" w:space="0" w:color="auto"/>
              </w:divBdr>
            </w:div>
            <w:div w:id="2104453221">
              <w:marLeft w:val="0"/>
              <w:marRight w:val="0"/>
              <w:marTop w:val="0"/>
              <w:marBottom w:val="0"/>
              <w:divBdr>
                <w:top w:val="none" w:sz="0" w:space="0" w:color="auto"/>
                <w:left w:val="none" w:sz="0" w:space="0" w:color="auto"/>
                <w:bottom w:val="none" w:sz="0" w:space="0" w:color="auto"/>
                <w:right w:val="none" w:sz="0" w:space="0" w:color="auto"/>
              </w:divBdr>
            </w:div>
          </w:divsChild>
        </w:div>
        <w:div w:id="1907643728">
          <w:marLeft w:val="0"/>
          <w:marRight w:val="0"/>
          <w:marTop w:val="0"/>
          <w:marBottom w:val="0"/>
          <w:divBdr>
            <w:top w:val="none" w:sz="0" w:space="0" w:color="auto"/>
            <w:left w:val="none" w:sz="0" w:space="0" w:color="auto"/>
            <w:bottom w:val="none" w:sz="0" w:space="0" w:color="auto"/>
            <w:right w:val="none" w:sz="0" w:space="0" w:color="auto"/>
          </w:divBdr>
          <w:divsChild>
            <w:div w:id="1256791612">
              <w:marLeft w:val="0"/>
              <w:marRight w:val="0"/>
              <w:marTop w:val="0"/>
              <w:marBottom w:val="0"/>
              <w:divBdr>
                <w:top w:val="none" w:sz="0" w:space="0" w:color="auto"/>
                <w:left w:val="none" w:sz="0" w:space="0" w:color="auto"/>
                <w:bottom w:val="none" w:sz="0" w:space="0" w:color="auto"/>
                <w:right w:val="none" w:sz="0" w:space="0" w:color="auto"/>
              </w:divBdr>
            </w:div>
            <w:div w:id="89470550">
              <w:marLeft w:val="0"/>
              <w:marRight w:val="0"/>
              <w:marTop w:val="0"/>
              <w:marBottom w:val="0"/>
              <w:divBdr>
                <w:top w:val="none" w:sz="0" w:space="0" w:color="auto"/>
                <w:left w:val="none" w:sz="0" w:space="0" w:color="auto"/>
                <w:bottom w:val="none" w:sz="0" w:space="0" w:color="auto"/>
                <w:right w:val="none" w:sz="0" w:space="0" w:color="auto"/>
              </w:divBdr>
            </w:div>
            <w:div w:id="704714442">
              <w:marLeft w:val="0"/>
              <w:marRight w:val="0"/>
              <w:marTop w:val="0"/>
              <w:marBottom w:val="0"/>
              <w:divBdr>
                <w:top w:val="none" w:sz="0" w:space="0" w:color="auto"/>
                <w:left w:val="none" w:sz="0" w:space="0" w:color="auto"/>
                <w:bottom w:val="none" w:sz="0" w:space="0" w:color="auto"/>
                <w:right w:val="none" w:sz="0" w:space="0" w:color="auto"/>
              </w:divBdr>
            </w:div>
            <w:div w:id="1421871783">
              <w:marLeft w:val="0"/>
              <w:marRight w:val="0"/>
              <w:marTop w:val="0"/>
              <w:marBottom w:val="0"/>
              <w:divBdr>
                <w:top w:val="none" w:sz="0" w:space="0" w:color="auto"/>
                <w:left w:val="none" w:sz="0" w:space="0" w:color="auto"/>
                <w:bottom w:val="none" w:sz="0" w:space="0" w:color="auto"/>
                <w:right w:val="none" w:sz="0" w:space="0" w:color="auto"/>
              </w:divBdr>
            </w:div>
            <w:div w:id="912352890">
              <w:marLeft w:val="0"/>
              <w:marRight w:val="0"/>
              <w:marTop w:val="0"/>
              <w:marBottom w:val="0"/>
              <w:divBdr>
                <w:top w:val="none" w:sz="0" w:space="0" w:color="auto"/>
                <w:left w:val="none" w:sz="0" w:space="0" w:color="auto"/>
                <w:bottom w:val="none" w:sz="0" w:space="0" w:color="auto"/>
                <w:right w:val="none" w:sz="0" w:space="0" w:color="auto"/>
              </w:divBdr>
            </w:div>
          </w:divsChild>
        </w:div>
        <w:div w:id="1571692181">
          <w:marLeft w:val="0"/>
          <w:marRight w:val="0"/>
          <w:marTop w:val="0"/>
          <w:marBottom w:val="0"/>
          <w:divBdr>
            <w:top w:val="none" w:sz="0" w:space="0" w:color="auto"/>
            <w:left w:val="none" w:sz="0" w:space="0" w:color="auto"/>
            <w:bottom w:val="none" w:sz="0" w:space="0" w:color="auto"/>
            <w:right w:val="none" w:sz="0" w:space="0" w:color="auto"/>
          </w:divBdr>
          <w:divsChild>
            <w:div w:id="154077811">
              <w:marLeft w:val="0"/>
              <w:marRight w:val="0"/>
              <w:marTop w:val="0"/>
              <w:marBottom w:val="0"/>
              <w:divBdr>
                <w:top w:val="none" w:sz="0" w:space="0" w:color="auto"/>
                <w:left w:val="none" w:sz="0" w:space="0" w:color="auto"/>
                <w:bottom w:val="none" w:sz="0" w:space="0" w:color="auto"/>
                <w:right w:val="none" w:sz="0" w:space="0" w:color="auto"/>
              </w:divBdr>
            </w:div>
            <w:div w:id="1487281099">
              <w:marLeft w:val="0"/>
              <w:marRight w:val="0"/>
              <w:marTop w:val="0"/>
              <w:marBottom w:val="0"/>
              <w:divBdr>
                <w:top w:val="none" w:sz="0" w:space="0" w:color="auto"/>
                <w:left w:val="none" w:sz="0" w:space="0" w:color="auto"/>
                <w:bottom w:val="none" w:sz="0" w:space="0" w:color="auto"/>
                <w:right w:val="none" w:sz="0" w:space="0" w:color="auto"/>
              </w:divBdr>
            </w:div>
            <w:div w:id="1386635817">
              <w:marLeft w:val="0"/>
              <w:marRight w:val="0"/>
              <w:marTop w:val="0"/>
              <w:marBottom w:val="0"/>
              <w:divBdr>
                <w:top w:val="none" w:sz="0" w:space="0" w:color="auto"/>
                <w:left w:val="none" w:sz="0" w:space="0" w:color="auto"/>
                <w:bottom w:val="none" w:sz="0" w:space="0" w:color="auto"/>
                <w:right w:val="none" w:sz="0" w:space="0" w:color="auto"/>
              </w:divBdr>
            </w:div>
            <w:div w:id="1891304628">
              <w:marLeft w:val="0"/>
              <w:marRight w:val="0"/>
              <w:marTop w:val="0"/>
              <w:marBottom w:val="0"/>
              <w:divBdr>
                <w:top w:val="none" w:sz="0" w:space="0" w:color="auto"/>
                <w:left w:val="none" w:sz="0" w:space="0" w:color="auto"/>
                <w:bottom w:val="none" w:sz="0" w:space="0" w:color="auto"/>
                <w:right w:val="none" w:sz="0" w:space="0" w:color="auto"/>
              </w:divBdr>
            </w:div>
            <w:div w:id="1922446836">
              <w:marLeft w:val="0"/>
              <w:marRight w:val="0"/>
              <w:marTop w:val="0"/>
              <w:marBottom w:val="0"/>
              <w:divBdr>
                <w:top w:val="none" w:sz="0" w:space="0" w:color="auto"/>
                <w:left w:val="none" w:sz="0" w:space="0" w:color="auto"/>
                <w:bottom w:val="none" w:sz="0" w:space="0" w:color="auto"/>
                <w:right w:val="none" w:sz="0" w:space="0" w:color="auto"/>
              </w:divBdr>
            </w:div>
          </w:divsChild>
        </w:div>
        <w:div w:id="526525021">
          <w:marLeft w:val="0"/>
          <w:marRight w:val="0"/>
          <w:marTop w:val="0"/>
          <w:marBottom w:val="0"/>
          <w:divBdr>
            <w:top w:val="none" w:sz="0" w:space="0" w:color="auto"/>
            <w:left w:val="none" w:sz="0" w:space="0" w:color="auto"/>
            <w:bottom w:val="none" w:sz="0" w:space="0" w:color="auto"/>
            <w:right w:val="none" w:sz="0" w:space="0" w:color="auto"/>
          </w:divBdr>
          <w:divsChild>
            <w:div w:id="1328551932">
              <w:marLeft w:val="0"/>
              <w:marRight w:val="0"/>
              <w:marTop w:val="0"/>
              <w:marBottom w:val="0"/>
              <w:divBdr>
                <w:top w:val="none" w:sz="0" w:space="0" w:color="auto"/>
                <w:left w:val="none" w:sz="0" w:space="0" w:color="auto"/>
                <w:bottom w:val="none" w:sz="0" w:space="0" w:color="auto"/>
                <w:right w:val="none" w:sz="0" w:space="0" w:color="auto"/>
              </w:divBdr>
            </w:div>
            <w:div w:id="501509571">
              <w:marLeft w:val="0"/>
              <w:marRight w:val="0"/>
              <w:marTop w:val="0"/>
              <w:marBottom w:val="0"/>
              <w:divBdr>
                <w:top w:val="none" w:sz="0" w:space="0" w:color="auto"/>
                <w:left w:val="none" w:sz="0" w:space="0" w:color="auto"/>
                <w:bottom w:val="none" w:sz="0" w:space="0" w:color="auto"/>
                <w:right w:val="none" w:sz="0" w:space="0" w:color="auto"/>
              </w:divBdr>
            </w:div>
            <w:div w:id="237250910">
              <w:marLeft w:val="0"/>
              <w:marRight w:val="0"/>
              <w:marTop w:val="0"/>
              <w:marBottom w:val="0"/>
              <w:divBdr>
                <w:top w:val="none" w:sz="0" w:space="0" w:color="auto"/>
                <w:left w:val="none" w:sz="0" w:space="0" w:color="auto"/>
                <w:bottom w:val="none" w:sz="0" w:space="0" w:color="auto"/>
                <w:right w:val="none" w:sz="0" w:space="0" w:color="auto"/>
              </w:divBdr>
            </w:div>
            <w:div w:id="748815107">
              <w:marLeft w:val="0"/>
              <w:marRight w:val="0"/>
              <w:marTop w:val="0"/>
              <w:marBottom w:val="0"/>
              <w:divBdr>
                <w:top w:val="none" w:sz="0" w:space="0" w:color="auto"/>
                <w:left w:val="none" w:sz="0" w:space="0" w:color="auto"/>
                <w:bottom w:val="none" w:sz="0" w:space="0" w:color="auto"/>
                <w:right w:val="none" w:sz="0" w:space="0" w:color="auto"/>
              </w:divBdr>
            </w:div>
            <w:div w:id="151260131">
              <w:marLeft w:val="0"/>
              <w:marRight w:val="0"/>
              <w:marTop w:val="0"/>
              <w:marBottom w:val="0"/>
              <w:divBdr>
                <w:top w:val="none" w:sz="0" w:space="0" w:color="auto"/>
                <w:left w:val="none" w:sz="0" w:space="0" w:color="auto"/>
                <w:bottom w:val="none" w:sz="0" w:space="0" w:color="auto"/>
                <w:right w:val="none" w:sz="0" w:space="0" w:color="auto"/>
              </w:divBdr>
            </w:div>
          </w:divsChild>
        </w:div>
        <w:div w:id="1456872279">
          <w:marLeft w:val="0"/>
          <w:marRight w:val="0"/>
          <w:marTop w:val="0"/>
          <w:marBottom w:val="0"/>
          <w:divBdr>
            <w:top w:val="none" w:sz="0" w:space="0" w:color="auto"/>
            <w:left w:val="none" w:sz="0" w:space="0" w:color="auto"/>
            <w:bottom w:val="none" w:sz="0" w:space="0" w:color="auto"/>
            <w:right w:val="none" w:sz="0" w:space="0" w:color="auto"/>
          </w:divBdr>
        </w:div>
        <w:div w:id="1471169554">
          <w:marLeft w:val="0"/>
          <w:marRight w:val="0"/>
          <w:marTop w:val="0"/>
          <w:marBottom w:val="0"/>
          <w:divBdr>
            <w:top w:val="none" w:sz="0" w:space="0" w:color="auto"/>
            <w:left w:val="none" w:sz="0" w:space="0" w:color="auto"/>
            <w:bottom w:val="none" w:sz="0" w:space="0" w:color="auto"/>
            <w:right w:val="none" w:sz="0" w:space="0" w:color="auto"/>
          </w:divBdr>
        </w:div>
        <w:div w:id="214003311">
          <w:marLeft w:val="0"/>
          <w:marRight w:val="0"/>
          <w:marTop w:val="0"/>
          <w:marBottom w:val="0"/>
          <w:divBdr>
            <w:top w:val="none" w:sz="0" w:space="0" w:color="auto"/>
            <w:left w:val="none" w:sz="0" w:space="0" w:color="auto"/>
            <w:bottom w:val="none" w:sz="0" w:space="0" w:color="auto"/>
            <w:right w:val="none" w:sz="0" w:space="0" w:color="auto"/>
          </w:divBdr>
        </w:div>
        <w:div w:id="1239166764">
          <w:marLeft w:val="0"/>
          <w:marRight w:val="0"/>
          <w:marTop w:val="0"/>
          <w:marBottom w:val="0"/>
          <w:divBdr>
            <w:top w:val="none" w:sz="0" w:space="0" w:color="auto"/>
            <w:left w:val="none" w:sz="0" w:space="0" w:color="auto"/>
            <w:bottom w:val="none" w:sz="0" w:space="0" w:color="auto"/>
            <w:right w:val="none" w:sz="0" w:space="0" w:color="auto"/>
          </w:divBdr>
        </w:div>
        <w:div w:id="1088503612">
          <w:marLeft w:val="0"/>
          <w:marRight w:val="0"/>
          <w:marTop w:val="0"/>
          <w:marBottom w:val="0"/>
          <w:divBdr>
            <w:top w:val="none" w:sz="0" w:space="0" w:color="auto"/>
            <w:left w:val="none" w:sz="0" w:space="0" w:color="auto"/>
            <w:bottom w:val="none" w:sz="0" w:space="0" w:color="auto"/>
            <w:right w:val="none" w:sz="0" w:space="0" w:color="auto"/>
          </w:divBdr>
        </w:div>
        <w:div w:id="247271403">
          <w:marLeft w:val="0"/>
          <w:marRight w:val="0"/>
          <w:marTop w:val="0"/>
          <w:marBottom w:val="0"/>
          <w:divBdr>
            <w:top w:val="none" w:sz="0" w:space="0" w:color="auto"/>
            <w:left w:val="none" w:sz="0" w:space="0" w:color="auto"/>
            <w:bottom w:val="none" w:sz="0" w:space="0" w:color="auto"/>
            <w:right w:val="none" w:sz="0" w:space="0" w:color="auto"/>
          </w:divBdr>
          <w:divsChild>
            <w:div w:id="525561962">
              <w:marLeft w:val="0"/>
              <w:marRight w:val="0"/>
              <w:marTop w:val="0"/>
              <w:marBottom w:val="0"/>
              <w:divBdr>
                <w:top w:val="none" w:sz="0" w:space="0" w:color="auto"/>
                <w:left w:val="none" w:sz="0" w:space="0" w:color="auto"/>
                <w:bottom w:val="none" w:sz="0" w:space="0" w:color="auto"/>
                <w:right w:val="none" w:sz="0" w:space="0" w:color="auto"/>
              </w:divBdr>
            </w:div>
            <w:div w:id="1070418603">
              <w:marLeft w:val="0"/>
              <w:marRight w:val="0"/>
              <w:marTop w:val="0"/>
              <w:marBottom w:val="0"/>
              <w:divBdr>
                <w:top w:val="none" w:sz="0" w:space="0" w:color="auto"/>
                <w:left w:val="none" w:sz="0" w:space="0" w:color="auto"/>
                <w:bottom w:val="none" w:sz="0" w:space="0" w:color="auto"/>
                <w:right w:val="none" w:sz="0" w:space="0" w:color="auto"/>
              </w:divBdr>
            </w:div>
            <w:div w:id="446966514">
              <w:marLeft w:val="0"/>
              <w:marRight w:val="0"/>
              <w:marTop w:val="0"/>
              <w:marBottom w:val="0"/>
              <w:divBdr>
                <w:top w:val="none" w:sz="0" w:space="0" w:color="auto"/>
                <w:left w:val="none" w:sz="0" w:space="0" w:color="auto"/>
                <w:bottom w:val="none" w:sz="0" w:space="0" w:color="auto"/>
                <w:right w:val="none" w:sz="0" w:space="0" w:color="auto"/>
              </w:divBdr>
            </w:div>
            <w:div w:id="372004658">
              <w:marLeft w:val="0"/>
              <w:marRight w:val="0"/>
              <w:marTop w:val="0"/>
              <w:marBottom w:val="0"/>
              <w:divBdr>
                <w:top w:val="none" w:sz="0" w:space="0" w:color="auto"/>
                <w:left w:val="none" w:sz="0" w:space="0" w:color="auto"/>
                <w:bottom w:val="none" w:sz="0" w:space="0" w:color="auto"/>
                <w:right w:val="none" w:sz="0" w:space="0" w:color="auto"/>
              </w:divBdr>
            </w:div>
            <w:div w:id="680398015">
              <w:marLeft w:val="0"/>
              <w:marRight w:val="0"/>
              <w:marTop w:val="0"/>
              <w:marBottom w:val="0"/>
              <w:divBdr>
                <w:top w:val="none" w:sz="0" w:space="0" w:color="auto"/>
                <w:left w:val="none" w:sz="0" w:space="0" w:color="auto"/>
                <w:bottom w:val="none" w:sz="0" w:space="0" w:color="auto"/>
                <w:right w:val="none" w:sz="0" w:space="0" w:color="auto"/>
              </w:divBdr>
            </w:div>
          </w:divsChild>
        </w:div>
        <w:div w:id="1176190379">
          <w:marLeft w:val="0"/>
          <w:marRight w:val="0"/>
          <w:marTop w:val="0"/>
          <w:marBottom w:val="0"/>
          <w:divBdr>
            <w:top w:val="none" w:sz="0" w:space="0" w:color="auto"/>
            <w:left w:val="none" w:sz="0" w:space="0" w:color="auto"/>
            <w:bottom w:val="none" w:sz="0" w:space="0" w:color="auto"/>
            <w:right w:val="none" w:sz="0" w:space="0" w:color="auto"/>
          </w:divBdr>
          <w:divsChild>
            <w:div w:id="762796735">
              <w:marLeft w:val="0"/>
              <w:marRight w:val="0"/>
              <w:marTop w:val="0"/>
              <w:marBottom w:val="0"/>
              <w:divBdr>
                <w:top w:val="none" w:sz="0" w:space="0" w:color="auto"/>
                <w:left w:val="none" w:sz="0" w:space="0" w:color="auto"/>
                <w:bottom w:val="none" w:sz="0" w:space="0" w:color="auto"/>
                <w:right w:val="none" w:sz="0" w:space="0" w:color="auto"/>
              </w:divBdr>
            </w:div>
            <w:div w:id="831986044">
              <w:marLeft w:val="0"/>
              <w:marRight w:val="0"/>
              <w:marTop w:val="0"/>
              <w:marBottom w:val="0"/>
              <w:divBdr>
                <w:top w:val="none" w:sz="0" w:space="0" w:color="auto"/>
                <w:left w:val="none" w:sz="0" w:space="0" w:color="auto"/>
                <w:bottom w:val="none" w:sz="0" w:space="0" w:color="auto"/>
                <w:right w:val="none" w:sz="0" w:space="0" w:color="auto"/>
              </w:divBdr>
            </w:div>
            <w:div w:id="1217743429">
              <w:marLeft w:val="0"/>
              <w:marRight w:val="0"/>
              <w:marTop w:val="0"/>
              <w:marBottom w:val="0"/>
              <w:divBdr>
                <w:top w:val="none" w:sz="0" w:space="0" w:color="auto"/>
                <w:left w:val="none" w:sz="0" w:space="0" w:color="auto"/>
                <w:bottom w:val="none" w:sz="0" w:space="0" w:color="auto"/>
                <w:right w:val="none" w:sz="0" w:space="0" w:color="auto"/>
              </w:divBdr>
            </w:div>
            <w:div w:id="1637373803">
              <w:marLeft w:val="0"/>
              <w:marRight w:val="0"/>
              <w:marTop w:val="0"/>
              <w:marBottom w:val="0"/>
              <w:divBdr>
                <w:top w:val="none" w:sz="0" w:space="0" w:color="auto"/>
                <w:left w:val="none" w:sz="0" w:space="0" w:color="auto"/>
                <w:bottom w:val="none" w:sz="0" w:space="0" w:color="auto"/>
                <w:right w:val="none" w:sz="0" w:space="0" w:color="auto"/>
              </w:divBdr>
            </w:div>
            <w:div w:id="912665084">
              <w:marLeft w:val="0"/>
              <w:marRight w:val="0"/>
              <w:marTop w:val="0"/>
              <w:marBottom w:val="0"/>
              <w:divBdr>
                <w:top w:val="none" w:sz="0" w:space="0" w:color="auto"/>
                <w:left w:val="none" w:sz="0" w:space="0" w:color="auto"/>
                <w:bottom w:val="none" w:sz="0" w:space="0" w:color="auto"/>
                <w:right w:val="none" w:sz="0" w:space="0" w:color="auto"/>
              </w:divBdr>
            </w:div>
          </w:divsChild>
        </w:div>
        <w:div w:id="103504840">
          <w:marLeft w:val="0"/>
          <w:marRight w:val="0"/>
          <w:marTop w:val="0"/>
          <w:marBottom w:val="0"/>
          <w:divBdr>
            <w:top w:val="none" w:sz="0" w:space="0" w:color="auto"/>
            <w:left w:val="none" w:sz="0" w:space="0" w:color="auto"/>
            <w:bottom w:val="none" w:sz="0" w:space="0" w:color="auto"/>
            <w:right w:val="none" w:sz="0" w:space="0" w:color="auto"/>
          </w:divBdr>
          <w:divsChild>
            <w:div w:id="1702591095">
              <w:marLeft w:val="0"/>
              <w:marRight w:val="0"/>
              <w:marTop w:val="0"/>
              <w:marBottom w:val="0"/>
              <w:divBdr>
                <w:top w:val="none" w:sz="0" w:space="0" w:color="auto"/>
                <w:left w:val="none" w:sz="0" w:space="0" w:color="auto"/>
                <w:bottom w:val="none" w:sz="0" w:space="0" w:color="auto"/>
                <w:right w:val="none" w:sz="0" w:space="0" w:color="auto"/>
              </w:divBdr>
            </w:div>
            <w:div w:id="1649624111">
              <w:marLeft w:val="0"/>
              <w:marRight w:val="0"/>
              <w:marTop w:val="0"/>
              <w:marBottom w:val="0"/>
              <w:divBdr>
                <w:top w:val="none" w:sz="0" w:space="0" w:color="auto"/>
                <w:left w:val="none" w:sz="0" w:space="0" w:color="auto"/>
                <w:bottom w:val="none" w:sz="0" w:space="0" w:color="auto"/>
                <w:right w:val="none" w:sz="0" w:space="0" w:color="auto"/>
              </w:divBdr>
            </w:div>
            <w:div w:id="1353994557">
              <w:marLeft w:val="0"/>
              <w:marRight w:val="0"/>
              <w:marTop w:val="0"/>
              <w:marBottom w:val="0"/>
              <w:divBdr>
                <w:top w:val="none" w:sz="0" w:space="0" w:color="auto"/>
                <w:left w:val="none" w:sz="0" w:space="0" w:color="auto"/>
                <w:bottom w:val="none" w:sz="0" w:space="0" w:color="auto"/>
                <w:right w:val="none" w:sz="0" w:space="0" w:color="auto"/>
              </w:divBdr>
            </w:div>
            <w:div w:id="949629145">
              <w:marLeft w:val="0"/>
              <w:marRight w:val="0"/>
              <w:marTop w:val="0"/>
              <w:marBottom w:val="0"/>
              <w:divBdr>
                <w:top w:val="none" w:sz="0" w:space="0" w:color="auto"/>
                <w:left w:val="none" w:sz="0" w:space="0" w:color="auto"/>
                <w:bottom w:val="none" w:sz="0" w:space="0" w:color="auto"/>
                <w:right w:val="none" w:sz="0" w:space="0" w:color="auto"/>
              </w:divBdr>
            </w:div>
            <w:div w:id="425923652">
              <w:marLeft w:val="0"/>
              <w:marRight w:val="0"/>
              <w:marTop w:val="0"/>
              <w:marBottom w:val="0"/>
              <w:divBdr>
                <w:top w:val="none" w:sz="0" w:space="0" w:color="auto"/>
                <w:left w:val="none" w:sz="0" w:space="0" w:color="auto"/>
                <w:bottom w:val="none" w:sz="0" w:space="0" w:color="auto"/>
                <w:right w:val="none" w:sz="0" w:space="0" w:color="auto"/>
              </w:divBdr>
            </w:div>
          </w:divsChild>
        </w:div>
        <w:div w:id="962422883">
          <w:marLeft w:val="0"/>
          <w:marRight w:val="0"/>
          <w:marTop w:val="0"/>
          <w:marBottom w:val="0"/>
          <w:divBdr>
            <w:top w:val="none" w:sz="0" w:space="0" w:color="auto"/>
            <w:left w:val="none" w:sz="0" w:space="0" w:color="auto"/>
            <w:bottom w:val="none" w:sz="0" w:space="0" w:color="auto"/>
            <w:right w:val="none" w:sz="0" w:space="0" w:color="auto"/>
          </w:divBdr>
        </w:div>
        <w:div w:id="1368792422">
          <w:marLeft w:val="0"/>
          <w:marRight w:val="0"/>
          <w:marTop w:val="0"/>
          <w:marBottom w:val="0"/>
          <w:divBdr>
            <w:top w:val="none" w:sz="0" w:space="0" w:color="auto"/>
            <w:left w:val="none" w:sz="0" w:space="0" w:color="auto"/>
            <w:bottom w:val="none" w:sz="0" w:space="0" w:color="auto"/>
            <w:right w:val="none" w:sz="0" w:space="0" w:color="auto"/>
          </w:divBdr>
        </w:div>
        <w:div w:id="1360085143">
          <w:marLeft w:val="0"/>
          <w:marRight w:val="0"/>
          <w:marTop w:val="0"/>
          <w:marBottom w:val="0"/>
          <w:divBdr>
            <w:top w:val="none" w:sz="0" w:space="0" w:color="auto"/>
            <w:left w:val="none" w:sz="0" w:space="0" w:color="auto"/>
            <w:bottom w:val="none" w:sz="0" w:space="0" w:color="auto"/>
            <w:right w:val="none" w:sz="0" w:space="0" w:color="auto"/>
          </w:divBdr>
        </w:div>
        <w:div w:id="2037735243">
          <w:marLeft w:val="0"/>
          <w:marRight w:val="0"/>
          <w:marTop w:val="0"/>
          <w:marBottom w:val="0"/>
          <w:divBdr>
            <w:top w:val="none" w:sz="0" w:space="0" w:color="auto"/>
            <w:left w:val="none" w:sz="0" w:space="0" w:color="auto"/>
            <w:bottom w:val="none" w:sz="0" w:space="0" w:color="auto"/>
            <w:right w:val="none" w:sz="0" w:space="0" w:color="auto"/>
          </w:divBdr>
        </w:div>
        <w:div w:id="1856192317">
          <w:marLeft w:val="0"/>
          <w:marRight w:val="0"/>
          <w:marTop w:val="0"/>
          <w:marBottom w:val="0"/>
          <w:divBdr>
            <w:top w:val="none" w:sz="0" w:space="0" w:color="auto"/>
            <w:left w:val="none" w:sz="0" w:space="0" w:color="auto"/>
            <w:bottom w:val="none" w:sz="0" w:space="0" w:color="auto"/>
            <w:right w:val="none" w:sz="0" w:space="0" w:color="auto"/>
          </w:divBdr>
        </w:div>
        <w:div w:id="436829783">
          <w:marLeft w:val="0"/>
          <w:marRight w:val="0"/>
          <w:marTop w:val="0"/>
          <w:marBottom w:val="0"/>
          <w:divBdr>
            <w:top w:val="none" w:sz="0" w:space="0" w:color="auto"/>
            <w:left w:val="none" w:sz="0" w:space="0" w:color="auto"/>
            <w:bottom w:val="none" w:sz="0" w:space="0" w:color="auto"/>
            <w:right w:val="none" w:sz="0" w:space="0" w:color="auto"/>
          </w:divBdr>
        </w:div>
        <w:div w:id="1815365935">
          <w:marLeft w:val="0"/>
          <w:marRight w:val="0"/>
          <w:marTop w:val="0"/>
          <w:marBottom w:val="0"/>
          <w:divBdr>
            <w:top w:val="none" w:sz="0" w:space="0" w:color="auto"/>
            <w:left w:val="none" w:sz="0" w:space="0" w:color="auto"/>
            <w:bottom w:val="none" w:sz="0" w:space="0" w:color="auto"/>
            <w:right w:val="none" w:sz="0" w:space="0" w:color="auto"/>
          </w:divBdr>
        </w:div>
        <w:div w:id="790057893">
          <w:marLeft w:val="0"/>
          <w:marRight w:val="0"/>
          <w:marTop w:val="0"/>
          <w:marBottom w:val="0"/>
          <w:divBdr>
            <w:top w:val="none" w:sz="0" w:space="0" w:color="auto"/>
            <w:left w:val="none" w:sz="0" w:space="0" w:color="auto"/>
            <w:bottom w:val="none" w:sz="0" w:space="0" w:color="auto"/>
            <w:right w:val="none" w:sz="0" w:space="0" w:color="auto"/>
          </w:divBdr>
        </w:div>
        <w:div w:id="43649041">
          <w:marLeft w:val="0"/>
          <w:marRight w:val="0"/>
          <w:marTop w:val="0"/>
          <w:marBottom w:val="0"/>
          <w:divBdr>
            <w:top w:val="none" w:sz="0" w:space="0" w:color="auto"/>
            <w:left w:val="none" w:sz="0" w:space="0" w:color="auto"/>
            <w:bottom w:val="none" w:sz="0" w:space="0" w:color="auto"/>
            <w:right w:val="none" w:sz="0" w:space="0" w:color="auto"/>
          </w:divBdr>
        </w:div>
        <w:div w:id="1972321500">
          <w:marLeft w:val="0"/>
          <w:marRight w:val="0"/>
          <w:marTop w:val="0"/>
          <w:marBottom w:val="0"/>
          <w:divBdr>
            <w:top w:val="none" w:sz="0" w:space="0" w:color="auto"/>
            <w:left w:val="none" w:sz="0" w:space="0" w:color="auto"/>
            <w:bottom w:val="none" w:sz="0" w:space="0" w:color="auto"/>
            <w:right w:val="none" w:sz="0" w:space="0" w:color="auto"/>
          </w:divBdr>
        </w:div>
        <w:div w:id="1708986395">
          <w:marLeft w:val="0"/>
          <w:marRight w:val="0"/>
          <w:marTop w:val="0"/>
          <w:marBottom w:val="0"/>
          <w:divBdr>
            <w:top w:val="none" w:sz="0" w:space="0" w:color="auto"/>
            <w:left w:val="none" w:sz="0" w:space="0" w:color="auto"/>
            <w:bottom w:val="none" w:sz="0" w:space="0" w:color="auto"/>
            <w:right w:val="none" w:sz="0" w:space="0" w:color="auto"/>
          </w:divBdr>
        </w:div>
        <w:div w:id="1838229643">
          <w:marLeft w:val="0"/>
          <w:marRight w:val="0"/>
          <w:marTop w:val="0"/>
          <w:marBottom w:val="0"/>
          <w:divBdr>
            <w:top w:val="none" w:sz="0" w:space="0" w:color="auto"/>
            <w:left w:val="none" w:sz="0" w:space="0" w:color="auto"/>
            <w:bottom w:val="none" w:sz="0" w:space="0" w:color="auto"/>
            <w:right w:val="none" w:sz="0" w:space="0" w:color="auto"/>
          </w:divBdr>
        </w:div>
        <w:div w:id="1622416656">
          <w:marLeft w:val="0"/>
          <w:marRight w:val="0"/>
          <w:marTop w:val="0"/>
          <w:marBottom w:val="0"/>
          <w:divBdr>
            <w:top w:val="none" w:sz="0" w:space="0" w:color="auto"/>
            <w:left w:val="none" w:sz="0" w:space="0" w:color="auto"/>
            <w:bottom w:val="none" w:sz="0" w:space="0" w:color="auto"/>
            <w:right w:val="none" w:sz="0" w:space="0" w:color="auto"/>
          </w:divBdr>
        </w:div>
        <w:div w:id="1930580844">
          <w:marLeft w:val="0"/>
          <w:marRight w:val="0"/>
          <w:marTop w:val="0"/>
          <w:marBottom w:val="0"/>
          <w:divBdr>
            <w:top w:val="none" w:sz="0" w:space="0" w:color="auto"/>
            <w:left w:val="none" w:sz="0" w:space="0" w:color="auto"/>
            <w:bottom w:val="none" w:sz="0" w:space="0" w:color="auto"/>
            <w:right w:val="none" w:sz="0" w:space="0" w:color="auto"/>
          </w:divBdr>
        </w:div>
        <w:div w:id="1719544576">
          <w:marLeft w:val="0"/>
          <w:marRight w:val="0"/>
          <w:marTop w:val="0"/>
          <w:marBottom w:val="0"/>
          <w:divBdr>
            <w:top w:val="none" w:sz="0" w:space="0" w:color="auto"/>
            <w:left w:val="none" w:sz="0" w:space="0" w:color="auto"/>
            <w:bottom w:val="none" w:sz="0" w:space="0" w:color="auto"/>
            <w:right w:val="none" w:sz="0" w:space="0" w:color="auto"/>
          </w:divBdr>
        </w:div>
        <w:div w:id="710299766">
          <w:marLeft w:val="0"/>
          <w:marRight w:val="0"/>
          <w:marTop w:val="0"/>
          <w:marBottom w:val="0"/>
          <w:divBdr>
            <w:top w:val="none" w:sz="0" w:space="0" w:color="auto"/>
            <w:left w:val="none" w:sz="0" w:space="0" w:color="auto"/>
            <w:bottom w:val="none" w:sz="0" w:space="0" w:color="auto"/>
            <w:right w:val="none" w:sz="0" w:space="0" w:color="auto"/>
          </w:divBdr>
        </w:div>
        <w:div w:id="1389258475">
          <w:marLeft w:val="0"/>
          <w:marRight w:val="0"/>
          <w:marTop w:val="0"/>
          <w:marBottom w:val="0"/>
          <w:divBdr>
            <w:top w:val="none" w:sz="0" w:space="0" w:color="auto"/>
            <w:left w:val="none" w:sz="0" w:space="0" w:color="auto"/>
            <w:bottom w:val="none" w:sz="0" w:space="0" w:color="auto"/>
            <w:right w:val="none" w:sz="0" w:space="0" w:color="auto"/>
          </w:divBdr>
        </w:div>
        <w:div w:id="1665431510">
          <w:marLeft w:val="0"/>
          <w:marRight w:val="0"/>
          <w:marTop w:val="0"/>
          <w:marBottom w:val="0"/>
          <w:divBdr>
            <w:top w:val="none" w:sz="0" w:space="0" w:color="auto"/>
            <w:left w:val="none" w:sz="0" w:space="0" w:color="auto"/>
            <w:bottom w:val="none" w:sz="0" w:space="0" w:color="auto"/>
            <w:right w:val="none" w:sz="0" w:space="0" w:color="auto"/>
          </w:divBdr>
        </w:div>
        <w:div w:id="203091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6151</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Alexander Cruz Berjan</dc:creator>
  <cp:keywords/>
  <dc:description/>
  <cp:lastModifiedBy>Diego Alexander Cruz Berjan</cp:lastModifiedBy>
  <cp:revision>1</cp:revision>
  <dcterms:created xsi:type="dcterms:W3CDTF">2022-04-12T13:09:00Z</dcterms:created>
  <dcterms:modified xsi:type="dcterms:W3CDTF">2022-04-12T13:10:00Z</dcterms:modified>
</cp:coreProperties>
</file>